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5802">
      <w:pPr>
        <w:pStyle w:val="Heading3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EE580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EE5802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7"/>
        <w:gridCol w:w="647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«ЯКОБЗ ДАУ ЕГБЕРТС УКРАЇНА»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39709794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42600, м.Тростянець, Сумська обл., вул.Набережна 28А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(0542) 702-505 (0542) 702-505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matseykiv@jdecoffee.com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https://www.jacobsdouweegberts.com/about-us/ukraine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припинення емітента шляхом злиття, приєднання, поділу, перетворення або банкрутства за рішенням вищого органу емітента або суду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E5802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 w:rsidP="00EE580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єдиного акцiонера, що одноосiбно володiє 100% акцiй ПРИВАТНОГО АКЦIОНЕРНОГО ТО</w:t>
            </w:r>
            <w:r>
              <w:rPr>
                <w:rFonts w:eastAsia="Times New Roman"/>
                <w:color w:val="000000"/>
              </w:rPr>
              <w:t>ВАРИСТВА «ЯКОБЗ ДАУ ЕГБЕРТС УКРАЇНА» (надалi – емiтент) вiд 25.05.2018 року №1 прийнято рiшення про припинення ПРИВАТНОГО АКЦIОНЕРНОГО ТОВАРИСТВА «ЯКОБЗ ДАУ ЕГБЕРТС УКРАЇНА» шляхом перетворення в ТОВАРИСТВО З ОБМЕЖЕНОЮ ВIДПОВIДАЛЬНIСТЮ «ЯКОБЗ ДАУ ЕГБЕРТС У</w:t>
            </w:r>
            <w:r>
              <w:rPr>
                <w:rFonts w:eastAsia="Times New Roman"/>
                <w:color w:val="000000"/>
              </w:rPr>
              <w:t>КРАЇНА». «ЗА» прийняття зазначеного рiшення вiддано – 3 424 222 голоси, або 100% голосiв вiд загальної їх кiлькостi, «ПРОТИ» - 0 голосiв, або 0% голосiв вiд загальної їх кiлькостi, «УТРИМАЛОСЬ» - 0 голосiв, або 0% голосiв вiд загальної їх кiлькостi. Причин</w:t>
            </w:r>
            <w:r>
              <w:rPr>
                <w:rFonts w:eastAsia="Times New Roman"/>
                <w:color w:val="000000"/>
              </w:rPr>
              <w:t>ою прийняття зазначеного рiшення стала необхiднiсть зменшення адмiнiстративних витрат, пов`язаних з обслуговуванням такої органiзацiйно-правової форми, як акцiонерне товариство та покращення оперативностi управлiння товариством. При перетвореннi ПРИВАТНОГО</w:t>
            </w:r>
            <w:r>
              <w:rPr>
                <w:rFonts w:eastAsia="Times New Roman"/>
                <w:color w:val="000000"/>
              </w:rPr>
              <w:t xml:space="preserve"> АКЦIОНЕРНОГО ТОВАРИСТВА «ЯКОБЗ ДАУ ЕГБЕРТС УКРАЇНА» все його майно, права та обов’язки, якi йому належать, переходять до його правонаступника – ТОВАРИСТВА З ОБМЕЖЕНОЮ ВIДПОВIДАЛЬНIСТЮ «ЯКОБЗ ДАУ ЕГБЕРТС УКРАЇНА». Розмiр статутного капiталу ТОВАРИСТВА З ОБ</w:t>
            </w:r>
            <w:r>
              <w:rPr>
                <w:rFonts w:eastAsia="Times New Roman"/>
                <w:color w:val="000000"/>
              </w:rPr>
              <w:t xml:space="preserve">МЕЖЕНОЮ ВIДПОВIДАЛЬНIСТЮ «ЯКОБЗ ДАУ ЕГБЕРТС УКРАЇНА», що створюється шляхом перетворення (на дату його створення) дорiвнюватиме розмiру статутного капiталу ПРИВАТНОГО АКЦIОНЕРНОГО ТОВАРИСТВА «ЯКОБЗ ДАУ ЕГБЕРТС УКРАЇНА», що припиняється шляхом перетворення </w:t>
            </w:r>
            <w:r>
              <w:rPr>
                <w:rFonts w:eastAsia="Times New Roman"/>
                <w:color w:val="000000"/>
              </w:rPr>
              <w:t>та складатиме – 1 712 111 (один мiльйон сiмсот дванадцять тисяч сто одинадцять) гривень 00 копiйок.</w:t>
            </w:r>
            <w:r>
              <w:rPr>
                <w:rFonts w:eastAsia="Times New Roman"/>
                <w:color w:val="000000"/>
              </w:rPr>
              <w:br/>
              <w:t>Затверджено наступний порядок та умови обмiну акцiй ПРИВАТНОГО АКЦIОНЕРНОГО ТОВАРИСТВА «ЯКОБЗ ДАУ ЕГБЕРТС УКРАЇНА» на частки в статутному капiталi правонаст</w:t>
            </w:r>
            <w:r>
              <w:rPr>
                <w:rFonts w:eastAsia="Times New Roman"/>
                <w:color w:val="000000"/>
              </w:rPr>
              <w:t>упника – ТОВАРИСТВА З ОБМЕЖЕНОЮ ВIДПОВIДАЛЬНIСТЮ «ЯКОБЗ ДАУ ЕГБЕРТС УКРАЇНА»: Єдиний акцiонер (його правонаступник) ПРИВАТНОГО АКЦIОНЕРНОГО ТОВАРИСТВА «ЯКОБЗ ДАУ ЕГБЕРТС УКРАЇНА» стає єдиним засновником (учасником) ТОВАРИСТВА З ОБМЕЖЕНОЮ ВIДПОВIДАЛЬНIСТЮ «</w:t>
            </w:r>
            <w:r>
              <w:rPr>
                <w:rFonts w:eastAsia="Times New Roman"/>
                <w:color w:val="000000"/>
              </w:rPr>
              <w:t xml:space="preserve">ЯКОБЗ ДАУ ЕГБЕРТС УКРАЇНА». Статут ТОВАРИСТВА З ОБМЕЖЕНОЮ ВIДПОВIДАЛЬНIСТЮ «ЯКОБЗ ДАУ ЕГБЕРТС </w:t>
            </w:r>
            <w:r>
              <w:rPr>
                <w:rFonts w:eastAsia="Times New Roman"/>
                <w:color w:val="000000"/>
              </w:rPr>
              <w:lastRenderedPageBreak/>
              <w:t>УКРАЇНА» буде мiстити вiдомостi про засновника (учасника) iз зазначенням розмiру його частки станом на день затвердження цього статуту. Розподiл часток ТОВАРИСТВА</w:t>
            </w:r>
            <w:r>
              <w:rPr>
                <w:rFonts w:eastAsia="Times New Roman"/>
                <w:color w:val="000000"/>
              </w:rPr>
              <w:t xml:space="preserve"> З ОБМЕЖЕНОЮ ВIДПОВIДАЛЬНIСТЮ «ЯКОБЗ ДАУ ЕГБЕРТС УКРАЇНА» вiдбувається iз збереженням спiввiдношення кiлькостi акцiй, що було у статутному капiталi ПРИВАТНОГО АКЦIОНЕРНОГО ТОВАРИСТВА «ЯКОБЗ ДАУ ЕГБЕРТС УКРАЇНА», що перетворюється. Розмiр частки єдиного уча</w:t>
            </w:r>
            <w:r>
              <w:rPr>
                <w:rFonts w:eastAsia="Times New Roman"/>
                <w:color w:val="000000"/>
              </w:rPr>
              <w:t>сника ТОВАРИСТВА З ОБМЕЖЕНОЮ ВIДПОВIДАЛЬНIСТЮ «ЯКОБЗ ДАУ ЕГБЕРТС УКРАЇНА» становитиме - 1 712 111 (один мiльйон сiмсот дванадцять тисяч сто одинадцять) гривень 00 копiйок, або 100% статутного капiталу товариства-правонаступника. Акцiї ПРИВАТНОГО АКЦIОНЕРНО</w:t>
            </w:r>
            <w:r>
              <w:rPr>
                <w:rFonts w:eastAsia="Times New Roman"/>
                <w:color w:val="000000"/>
              </w:rPr>
              <w:t>ГО ТОВАРИСТВА «ЯКОБЗ ДАУ ЕГБЕРТС УКРАЇНА» конвертуються в частку правонаступника - ТОВАРИСТВА З ОБМЕЖЕНОЮ ВIДПОВIДАЛЬНIСТЮ «ЯКОБЗ ДАУ ЕГБЕРТС УКРАЇНА» з коефiцiєнтом 1. При здiйсненнi обмiну розмiр частки учасника у статутному капiталi товариства з обмежен</w:t>
            </w:r>
            <w:r>
              <w:rPr>
                <w:rFonts w:eastAsia="Times New Roman"/>
                <w:color w:val="000000"/>
              </w:rPr>
              <w:t>ою вiдповiдальнiстю повинен дорiвнювати розмiру загальної номiнальної вартостi акцiй, якi належали йому у статутному капiталi акцiонерного товариства, на дату затвердження установчих документiв товариства, що створюється в результатi перетворення. В день д</w:t>
            </w:r>
            <w:r>
              <w:rPr>
                <w:rFonts w:eastAsia="Times New Roman"/>
                <w:color w:val="000000"/>
              </w:rPr>
              <w:t>ержавної реєстрацiї ТОВАРИСТВА З ОБМЕЖЕНОЮ ВIДПОВIДАЛЬНIСТЮ «ЯКОБЗ ДАУ ЕГБЕРТС УКРАЇНА» його учаснику буде видано вiдповiдне свiдоцтво про володiння часткою у статутному капiталi ТОВАРИСТВА З ОБМЕЖЕНОЮ ВIДПОВIДАЛЬНIСТЮ «ЯКОБЗ ДАУ ЕГБЕРТС УКРАЇНА» в розмiрi</w:t>
            </w:r>
            <w:r>
              <w:rPr>
                <w:rFonts w:eastAsia="Times New Roman"/>
                <w:color w:val="000000"/>
              </w:rPr>
              <w:t xml:space="preserve"> 1 712 111 (один мiльйон сiмсот дванадцять тисяч сто одинадцять) гривень 00 копiйок, або 100% його статутного капiталу.</w:t>
            </w:r>
          </w:p>
        </w:tc>
      </w:tr>
    </w:tbl>
    <w:p w:rsidR="00000000" w:rsidRDefault="00EE5802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80"/>
        <w:gridCol w:w="821"/>
        <w:gridCol w:w="180"/>
        <w:gridCol w:w="30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Особа, зазначена нижче, підтверджує достовірність інформації, що міститься у повідомленні, та визнає, що вона несе відпо</w:t>
            </w:r>
            <w:r>
              <w:rPr>
                <w:rFonts w:eastAsia="Times New Roman"/>
                <w:color w:val="000000"/>
              </w:rPr>
              <w:t xml:space="preserve">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Мацейкiв М.М.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Ст.спецiалiст з корп.управл. i реєстр. торг.марок, Укр., довiренiсть 01.01.18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29.05.2018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E58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E58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bookmarkEnd w:id="0"/>
    </w:tbl>
    <w:p w:rsidR="00000000" w:rsidRDefault="00EE5802">
      <w:pPr>
        <w:rPr>
          <w:rFonts w:eastAsia="Times New Roman"/>
        </w:rPr>
      </w:pPr>
    </w:p>
    <w:sectPr w:rsidR="00000000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5802"/>
    <w:rsid w:val="00E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C096"/>
  <w15:chartTrackingRefBased/>
  <w15:docId w15:val="{5E337E46-136C-472D-B56A-F594F39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Normal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Normal"/>
    <w:pPr>
      <w:spacing w:before="100" w:beforeAutospacing="1" w:after="100" w:afterAutospacing="1"/>
    </w:pPr>
  </w:style>
  <w:style w:type="paragraph" w:customStyle="1" w:styleId="brdbtm">
    <w:name w:val="brdbtm"/>
    <w:basedOn w:val="Normal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DefaultParagraph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Matseykiv, Maryana</dc:creator>
  <cp:keywords/>
  <dc:description/>
  <cp:lastModifiedBy>Matseykiv, Maryana</cp:lastModifiedBy>
  <cp:revision>2</cp:revision>
  <dcterms:created xsi:type="dcterms:W3CDTF">2018-05-31T08:38:00Z</dcterms:created>
  <dcterms:modified xsi:type="dcterms:W3CDTF">2018-05-31T08:38:00Z</dcterms:modified>
</cp:coreProperties>
</file>